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0572" w14:textId="77777777" w:rsidR="00C861BC" w:rsidRPr="00C861BC" w:rsidRDefault="00C861BC" w:rsidP="00C861BC">
      <w:pPr>
        <w:spacing w:line="240" w:lineRule="auto"/>
        <w:rPr>
          <w:rFonts w:eastAsia="Times New Roman"/>
          <w:szCs w:val="24"/>
          <w:lang w:eastAsia="es-VE"/>
        </w:rPr>
      </w:pPr>
      <w:r w:rsidRPr="00C861BC">
        <w:rPr>
          <w:rFonts w:eastAsia="Times New Roman"/>
          <w:szCs w:val="24"/>
          <w:lang w:eastAsia="es-VE"/>
        </w:rPr>
        <w:t xml:space="preserve">Definitivamente, el modelo de investigación interdisciplinaria desarrollado por </w:t>
      </w:r>
      <w:r w:rsidRPr="00C861BC">
        <w:rPr>
          <w:rFonts w:eastAsia="Times New Roman"/>
          <w:b/>
          <w:bCs/>
          <w:szCs w:val="24"/>
          <w:lang w:eastAsia="es-VE"/>
        </w:rPr>
        <w:t>Idalia Cornieles</w:t>
      </w:r>
      <w:r w:rsidRPr="00C861BC">
        <w:rPr>
          <w:rFonts w:eastAsia="Times New Roman"/>
          <w:szCs w:val="24"/>
          <w:lang w:eastAsia="es-VE"/>
        </w:rPr>
        <w:t xml:space="preserve"> sobre la </w:t>
      </w:r>
      <w:r w:rsidRPr="00C861BC">
        <w:rPr>
          <w:rFonts w:eastAsia="Times New Roman"/>
          <w:b/>
          <w:bCs/>
          <w:szCs w:val="24"/>
          <w:lang w:eastAsia="es-VE"/>
        </w:rPr>
        <w:t>salud bucodental en niños</w:t>
      </w:r>
      <w:r w:rsidRPr="00C861BC">
        <w:rPr>
          <w:rFonts w:eastAsia="Times New Roman"/>
          <w:szCs w:val="24"/>
          <w:lang w:eastAsia="es-VE"/>
        </w:rPr>
        <w:t xml:space="preserve"> puede aplicarse a otras instituciones educativas para mejorar la calidad de vida de los estudiantes. Su enfoque permite abordar la salud oral desde múltiples perspectivas, lo que lo hace replicable en distintos contextos escolares.</w:t>
      </w:r>
    </w:p>
    <w:p w14:paraId="4472E93D" w14:textId="77777777" w:rsidR="00C861BC" w:rsidRPr="00C861BC" w:rsidRDefault="00C861BC" w:rsidP="00C861BC">
      <w:pPr>
        <w:spacing w:line="240" w:lineRule="auto"/>
        <w:rPr>
          <w:rFonts w:eastAsia="Times New Roman"/>
          <w:szCs w:val="24"/>
          <w:lang w:eastAsia="es-VE"/>
        </w:rPr>
      </w:pPr>
      <w:r w:rsidRPr="00C861BC">
        <w:rPr>
          <w:rFonts w:eastAsia="Times New Roman"/>
          <w:b/>
          <w:bCs/>
          <w:szCs w:val="24"/>
          <w:lang w:eastAsia="es-VE"/>
        </w:rPr>
        <w:t>Cómo aplicar este modelo en otras instituciones educativas</w:t>
      </w:r>
    </w:p>
    <w:p w14:paraId="076AA8B3" w14:textId="77777777" w:rsidR="00C861BC" w:rsidRPr="00C861BC" w:rsidRDefault="00C861BC" w:rsidP="00C861BC">
      <w:pPr>
        <w:numPr>
          <w:ilvl w:val="0"/>
          <w:numId w:val="18"/>
        </w:numPr>
        <w:spacing w:line="240" w:lineRule="auto"/>
        <w:rPr>
          <w:rFonts w:eastAsia="Times New Roman"/>
          <w:szCs w:val="24"/>
          <w:lang w:eastAsia="es-VE"/>
        </w:rPr>
      </w:pPr>
      <w:r w:rsidRPr="00C861BC">
        <w:rPr>
          <w:rFonts w:eastAsia="Times New Roman"/>
          <w:b/>
          <w:bCs/>
          <w:szCs w:val="24"/>
          <w:lang w:eastAsia="es-VE"/>
        </w:rPr>
        <w:t>Adaptación al entorno específico:</w:t>
      </w:r>
    </w:p>
    <w:p w14:paraId="21D67ED8" w14:textId="77777777" w:rsidR="00C861BC" w:rsidRPr="00C861BC" w:rsidRDefault="00C861BC" w:rsidP="00C861BC">
      <w:pPr>
        <w:numPr>
          <w:ilvl w:val="1"/>
          <w:numId w:val="18"/>
        </w:numPr>
        <w:spacing w:line="240" w:lineRule="auto"/>
        <w:rPr>
          <w:rFonts w:eastAsia="Times New Roman"/>
          <w:szCs w:val="24"/>
          <w:lang w:eastAsia="es-VE"/>
        </w:rPr>
      </w:pPr>
      <w:r w:rsidRPr="00C861BC">
        <w:rPr>
          <w:rFonts w:eastAsia="Times New Roman"/>
          <w:szCs w:val="24"/>
          <w:lang w:eastAsia="es-VE"/>
        </w:rPr>
        <w:t>Evaluar las condiciones sanitarias, socioeconómicas y educativas de la población escolar.</w:t>
      </w:r>
    </w:p>
    <w:p w14:paraId="3CCCF791" w14:textId="77777777" w:rsidR="00C861BC" w:rsidRPr="00C861BC" w:rsidRDefault="00C861BC" w:rsidP="00C861BC">
      <w:pPr>
        <w:numPr>
          <w:ilvl w:val="1"/>
          <w:numId w:val="18"/>
        </w:numPr>
        <w:spacing w:line="240" w:lineRule="auto"/>
        <w:rPr>
          <w:rFonts w:eastAsia="Times New Roman"/>
          <w:szCs w:val="24"/>
          <w:lang w:eastAsia="es-VE"/>
        </w:rPr>
      </w:pPr>
      <w:r w:rsidRPr="00C861BC">
        <w:rPr>
          <w:rFonts w:eastAsia="Times New Roman"/>
          <w:szCs w:val="24"/>
          <w:lang w:eastAsia="es-VE"/>
        </w:rPr>
        <w:t>Ajustar las estrategias de prevención y promoción de la salud a las necesidades particulares de cada comunidad.</w:t>
      </w:r>
    </w:p>
    <w:p w14:paraId="1E423A03" w14:textId="77777777" w:rsidR="00C861BC" w:rsidRPr="00C861BC" w:rsidRDefault="00C861BC" w:rsidP="00C861BC">
      <w:pPr>
        <w:numPr>
          <w:ilvl w:val="0"/>
          <w:numId w:val="18"/>
        </w:numPr>
        <w:spacing w:line="240" w:lineRule="auto"/>
        <w:rPr>
          <w:rFonts w:eastAsia="Times New Roman"/>
          <w:szCs w:val="24"/>
          <w:lang w:eastAsia="es-VE"/>
        </w:rPr>
      </w:pPr>
      <w:r w:rsidRPr="00C861BC">
        <w:rPr>
          <w:rFonts w:eastAsia="Times New Roman"/>
          <w:b/>
          <w:bCs/>
          <w:szCs w:val="24"/>
          <w:lang w:eastAsia="es-VE"/>
        </w:rPr>
        <w:t>Creación de equipos interdisciplinarios:</w:t>
      </w:r>
    </w:p>
    <w:p w14:paraId="6DB851BD" w14:textId="77777777" w:rsidR="00C861BC" w:rsidRPr="00C861BC" w:rsidRDefault="00C861BC" w:rsidP="00C861BC">
      <w:pPr>
        <w:numPr>
          <w:ilvl w:val="1"/>
          <w:numId w:val="18"/>
        </w:numPr>
        <w:spacing w:line="240" w:lineRule="auto"/>
        <w:rPr>
          <w:rFonts w:eastAsia="Times New Roman"/>
          <w:szCs w:val="24"/>
          <w:lang w:eastAsia="es-VE"/>
        </w:rPr>
      </w:pPr>
      <w:r w:rsidRPr="00C861BC">
        <w:rPr>
          <w:rFonts w:eastAsia="Times New Roman"/>
          <w:szCs w:val="24"/>
          <w:lang w:eastAsia="es-VE"/>
        </w:rPr>
        <w:t>Integrar profesionales de odontología, pediatría, psicología y educación.</w:t>
      </w:r>
    </w:p>
    <w:p w14:paraId="5324B8E5" w14:textId="77777777" w:rsidR="00C861BC" w:rsidRPr="00C861BC" w:rsidRDefault="00C861BC" w:rsidP="00C861BC">
      <w:pPr>
        <w:numPr>
          <w:ilvl w:val="1"/>
          <w:numId w:val="18"/>
        </w:numPr>
        <w:spacing w:line="240" w:lineRule="auto"/>
        <w:rPr>
          <w:rFonts w:eastAsia="Times New Roman"/>
          <w:szCs w:val="24"/>
          <w:lang w:eastAsia="es-VE"/>
        </w:rPr>
      </w:pPr>
      <w:r w:rsidRPr="00C861BC">
        <w:rPr>
          <w:rFonts w:eastAsia="Times New Roman"/>
          <w:szCs w:val="24"/>
          <w:lang w:eastAsia="es-VE"/>
        </w:rPr>
        <w:t>Fomentar la participación de trabajadores sociales y especialistas en nutrición para garantizar una atención integral.</w:t>
      </w:r>
    </w:p>
    <w:p w14:paraId="42D5FF22" w14:textId="77777777" w:rsidR="00C861BC" w:rsidRPr="00C861BC" w:rsidRDefault="00C861BC" w:rsidP="00C861BC">
      <w:pPr>
        <w:numPr>
          <w:ilvl w:val="0"/>
          <w:numId w:val="18"/>
        </w:numPr>
        <w:spacing w:line="240" w:lineRule="auto"/>
        <w:rPr>
          <w:rFonts w:eastAsia="Times New Roman"/>
          <w:szCs w:val="24"/>
          <w:lang w:eastAsia="es-VE"/>
        </w:rPr>
      </w:pPr>
      <w:r w:rsidRPr="00C861BC">
        <w:rPr>
          <w:rFonts w:eastAsia="Times New Roman"/>
          <w:b/>
          <w:bCs/>
          <w:szCs w:val="24"/>
          <w:lang w:eastAsia="es-VE"/>
        </w:rPr>
        <w:t>Incorporación de la educación en salud bucodental al currículo escolar:</w:t>
      </w:r>
    </w:p>
    <w:p w14:paraId="26A9A24E" w14:textId="77777777" w:rsidR="00C861BC" w:rsidRPr="00C861BC" w:rsidRDefault="00C861BC" w:rsidP="00C861BC">
      <w:pPr>
        <w:numPr>
          <w:ilvl w:val="1"/>
          <w:numId w:val="18"/>
        </w:numPr>
        <w:spacing w:line="240" w:lineRule="auto"/>
        <w:rPr>
          <w:rFonts w:eastAsia="Times New Roman"/>
          <w:szCs w:val="24"/>
          <w:lang w:eastAsia="es-VE"/>
        </w:rPr>
      </w:pPr>
      <w:r w:rsidRPr="00C861BC">
        <w:rPr>
          <w:rFonts w:eastAsia="Times New Roman"/>
          <w:szCs w:val="24"/>
          <w:lang w:eastAsia="es-VE"/>
        </w:rPr>
        <w:t>Desarrollar talleres y actividades para concientizar a los niños sobre la importancia de la higiene oral.</w:t>
      </w:r>
    </w:p>
    <w:p w14:paraId="54C453D7" w14:textId="77777777" w:rsidR="00C861BC" w:rsidRPr="00C861BC" w:rsidRDefault="00C861BC" w:rsidP="00C861BC">
      <w:pPr>
        <w:numPr>
          <w:ilvl w:val="1"/>
          <w:numId w:val="18"/>
        </w:numPr>
        <w:spacing w:line="240" w:lineRule="auto"/>
        <w:rPr>
          <w:rFonts w:eastAsia="Times New Roman"/>
          <w:szCs w:val="24"/>
          <w:lang w:eastAsia="es-VE"/>
        </w:rPr>
      </w:pPr>
      <w:r w:rsidRPr="00C861BC">
        <w:rPr>
          <w:rFonts w:eastAsia="Times New Roman"/>
          <w:szCs w:val="24"/>
          <w:lang w:eastAsia="es-VE"/>
        </w:rPr>
        <w:t>Implementar programas educativos con apoyo audiovisual y práctico para reforzar hábitos saludables.</w:t>
      </w:r>
    </w:p>
    <w:p w14:paraId="0AD14037" w14:textId="77777777" w:rsidR="00C861BC" w:rsidRPr="00C861BC" w:rsidRDefault="00C861BC" w:rsidP="00C861BC">
      <w:pPr>
        <w:numPr>
          <w:ilvl w:val="0"/>
          <w:numId w:val="18"/>
        </w:numPr>
        <w:spacing w:line="240" w:lineRule="auto"/>
        <w:rPr>
          <w:rFonts w:eastAsia="Times New Roman"/>
          <w:szCs w:val="24"/>
          <w:lang w:eastAsia="es-VE"/>
        </w:rPr>
      </w:pPr>
      <w:r w:rsidRPr="00C861BC">
        <w:rPr>
          <w:rFonts w:eastAsia="Times New Roman"/>
          <w:b/>
          <w:bCs/>
          <w:szCs w:val="24"/>
          <w:lang w:eastAsia="es-VE"/>
        </w:rPr>
        <w:t>Colaboración con organismos de salud pública:</w:t>
      </w:r>
    </w:p>
    <w:p w14:paraId="1899410B" w14:textId="77777777" w:rsidR="00C861BC" w:rsidRPr="00C861BC" w:rsidRDefault="00C861BC" w:rsidP="00C861BC">
      <w:pPr>
        <w:numPr>
          <w:ilvl w:val="1"/>
          <w:numId w:val="18"/>
        </w:numPr>
        <w:spacing w:line="240" w:lineRule="auto"/>
        <w:rPr>
          <w:rFonts w:eastAsia="Times New Roman"/>
          <w:szCs w:val="24"/>
          <w:lang w:eastAsia="es-VE"/>
        </w:rPr>
      </w:pPr>
      <w:r w:rsidRPr="00C861BC">
        <w:rPr>
          <w:rFonts w:eastAsia="Times New Roman"/>
          <w:szCs w:val="24"/>
          <w:lang w:eastAsia="es-VE"/>
        </w:rPr>
        <w:t>Establecer alianzas con universidades y centros de salud para obtener respaldo técnico y logístico.</w:t>
      </w:r>
    </w:p>
    <w:p w14:paraId="4A610C47" w14:textId="77777777" w:rsidR="00C861BC" w:rsidRPr="00C861BC" w:rsidRDefault="00C861BC" w:rsidP="00C861BC">
      <w:pPr>
        <w:numPr>
          <w:ilvl w:val="1"/>
          <w:numId w:val="18"/>
        </w:numPr>
        <w:spacing w:line="240" w:lineRule="auto"/>
        <w:rPr>
          <w:rFonts w:eastAsia="Times New Roman"/>
          <w:szCs w:val="24"/>
          <w:lang w:eastAsia="es-VE"/>
        </w:rPr>
      </w:pPr>
      <w:r w:rsidRPr="00C861BC">
        <w:rPr>
          <w:rFonts w:eastAsia="Times New Roman"/>
          <w:szCs w:val="24"/>
          <w:lang w:eastAsia="es-VE"/>
        </w:rPr>
        <w:t>Impulsar campañas de atención odontológica gratuita dentro de las escuelas.</w:t>
      </w:r>
    </w:p>
    <w:p w14:paraId="0820CC00" w14:textId="77777777" w:rsidR="00C861BC" w:rsidRPr="00C861BC" w:rsidRDefault="00C861BC" w:rsidP="00C861BC">
      <w:pPr>
        <w:numPr>
          <w:ilvl w:val="0"/>
          <w:numId w:val="18"/>
        </w:numPr>
        <w:spacing w:line="240" w:lineRule="auto"/>
        <w:rPr>
          <w:rFonts w:eastAsia="Times New Roman"/>
          <w:szCs w:val="24"/>
          <w:lang w:eastAsia="es-VE"/>
        </w:rPr>
      </w:pPr>
      <w:r w:rsidRPr="00C861BC">
        <w:rPr>
          <w:rFonts w:eastAsia="Times New Roman"/>
          <w:b/>
          <w:bCs/>
          <w:szCs w:val="24"/>
          <w:lang w:eastAsia="es-VE"/>
        </w:rPr>
        <w:t>Monitoreo y evaluación de impacto:</w:t>
      </w:r>
    </w:p>
    <w:p w14:paraId="6D3EC50F" w14:textId="77777777" w:rsidR="00C861BC" w:rsidRPr="00C861BC" w:rsidRDefault="00C861BC" w:rsidP="00C861BC">
      <w:pPr>
        <w:numPr>
          <w:ilvl w:val="0"/>
          <w:numId w:val="19"/>
        </w:numPr>
        <w:spacing w:line="240" w:lineRule="auto"/>
        <w:rPr>
          <w:rFonts w:eastAsia="Times New Roman"/>
          <w:szCs w:val="24"/>
          <w:lang w:eastAsia="es-VE"/>
        </w:rPr>
      </w:pPr>
      <w:r w:rsidRPr="00C861BC">
        <w:rPr>
          <w:rFonts w:eastAsia="Times New Roman"/>
          <w:szCs w:val="24"/>
          <w:lang w:eastAsia="es-VE"/>
        </w:rPr>
        <w:t>Aplicar instrumentos de medición para conocer la efectividad del programa y realizar ajustes según los resultados.</w:t>
      </w:r>
    </w:p>
    <w:p w14:paraId="1C1ABEF9" w14:textId="77777777" w:rsidR="00C861BC" w:rsidRPr="00C861BC" w:rsidRDefault="00C861BC" w:rsidP="00C861BC">
      <w:pPr>
        <w:numPr>
          <w:ilvl w:val="0"/>
          <w:numId w:val="19"/>
        </w:numPr>
        <w:spacing w:line="240" w:lineRule="auto"/>
        <w:rPr>
          <w:rFonts w:eastAsia="Times New Roman"/>
          <w:szCs w:val="24"/>
          <w:lang w:eastAsia="es-VE"/>
        </w:rPr>
      </w:pPr>
      <w:r w:rsidRPr="00C861BC">
        <w:rPr>
          <w:rFonts w:eastAsia="Times New Roman"/>
          <w:szCs w:val="24"/>
          <w:lang w:eastAsia="es-VE"/>
        </w:rPr>
        <w:t>Publicar los hallazgos en investigaciones que permitan perfeccionar futuras intervenciones.</w:t>
      </w:r>
    </w:p>
    <w:p w14:paraId="5A486C0D" w14:textId="77777777" w:rsidR="00AB1AEF" w:rsidRPr="00AB1AEF" w:rsidRDefault="00AB1AEF" w:rsidP="00AB1AEF">
      <w:pPr>
        <w:spacing w:line="240" w:lineRule="auto"/>
        <w:rPr>
          <w:rFonts w:eastAsia="Times New Roman"/>
          <w:szCs w:val="24"/>
          <w:lang w:eastAsia="es-VE"/>
        </w:rPr>
      </w:pPr>
      <w:r w:rsidRPr="00AB1AEF">
        <w:rPr>
          <w:rFonts w:eastAsia="Times New Roman"/>
          <w:szCs w:val="24"/>
          <w:lang w:eastAsia="es-VE"/>
        </w:rPr>
        <w:t xml:space="preserve">La </w:t>
      </w:r>
      <w:r w:rsidRPr="00AB1AEF">
        <w:rPr>
          <w:rFonts w:eastAsia="Times New Roman"/>
          <w:b/>
          <w:bCs/>
          <w:szCs w:val="24"/>
          <w:lang w:eastAsia="es-VE"/>
        </w:rPr>
        <w:t>epistemología</w:t>
      </w:r>
      <w:r w:rsidRPr="00AB1AEF">
        <w:rPr>
          <w:rFonts w:eastAsia="Times New Roman"/>
          <w:szCs w:val="24"/>
          <w:lang w:eastAsia="es-VE"/>
        </w:rPr>
        <w:t xml:space="preserve"> y la </w:t>
      </w:r>
      <w:r w:rsidRPr="00AB1AEF">
        <w:rPr>
          <w:rFonts w:eastAsia="Times New Roman"/>
          <w:b/>
          <w:bCs/>
          <w:szCs w:val="24"/>
          <w:lang w:eastAsia="es-VE"/>
        </w:rPr>
        <w:t>investigación interdisciplinaria</w:t>
      </w:r>
      <w:r w:rsidRPr="00AB1AEF">
        <w:rPr>
          <w:rFonts w:eastAsia="Times New Roman"/>
          <w:szCs w:val="24"/>
          <w:lang w:eastAsia="es-VE"/>
        </w:rPr>
        <w:t xml:space="preserve"> han sido objeto de críticas y debates en el ámbito académico. La interdisciplinariedad busca integrar conocimientos de distintas disciplinas para abordar problemas complejos, pero enfrenta desafíos epistemológicos que han generado cuestionamientos.</w:t>
      </w:r>
    </w:p>
    <w:p w14:paraId="27660DA9" w14:textId="77777777" w:rsidR="00AB1AEF" w:rsidRPr="00AB1AEF" w:rsidRDefault="00AB1AEF" w:rsidP="00AB1AEF">
      <w:pPr>
        <w:spacing w:line="240" w:lineRule="auto"/>
        <w:rPr>
          <w:rFonts w:eastAsia="Times New Roman"/>
          <w:szCs w:val="24"/>
          <w:lang w:eastAsia="es-VE"/>
        </w:rPr>
      </w:pPr>
      <w:r w:rsidRPr="00AB1AEF">
        <w:rPr>
          <w:rFonts w:eastAsia="Times New Roman"/>
          <w:b/>
          <w:bCs/>
          <w:szCs w:val="24"/>
          <w:lang w:eastAsia="es-VE"/>
        </w:rPr>
        <w:t>Críticas a la investigación interdisciplinaria desde la epistemología</w:t>
      </w:r>
    </w:p>
    <w:p w14:paraId="1126C532" w14:textId="77777777" w:rsidR="00AB1AEF" w:rsidRPr="00AB1AEF" w:rsidRDefault="00AB1AEF" w:rsidP="00AB1AEF">
      <w:pPr>
        <w:numPr>
          <w:ilvl w:val="0"/>
          <w:numId w:val="20"/>
        </w:numPr>
        <w:spacing w:line="240" w:lineRule="auto"/>
        <w:rPr>
          <w:rFonts w:eastAsia="Times New Roman"/>
          <w:szCs w:val="24"/>
          <w:lang w:eastAsia="es-VE"/>
        </w:rPr>
      </w:pPr>
      <w:r w:rsidRPr="00AB1AEF">
        <w:rPr>
          <w:rFonts w:eastAsia="Times New Roman"/>
          <w:b/>
          <w:bCs/>
          <w:szCs w:val="24"/>
          <w:lang w:eastAsia="es-VE"/>
        </w:rPr>
        <w:t>Falta de profundidad en cada disciplina</w:t>
      </w:r>
    </w:p>
    <w:p w14:paraId="1767B681" w14:textId="77777777" w:rsidR="00AB1AEF" w:rsidRPr="00AB1AEF" w:rsidRDefault="00AB1AEF" w:rsidP="00AB1AEF">
      <w:pPr>
        <w:numPr>
          <w:ilvl w:val="1"/>
          <w:numId w:val="20"/>
        </w:numPr>
        <w:spacing w:line="240" w:lineRule="auto"/>
        <w:rPr>
          <w:rFonts w:eastAsia="Times New Roman"/>
          <w:szCs w:val="24"/>
          <w:lang w:eastAsia="es-VE"/>
        </w:rPr>
      </w:pPr>
      <w:r w:rsidRPr="00AB1AEF">
        <w:rPr>
          <w:rFonts w:eastAsia="Times New Roman"/>
          <w:szCs w:val="24"/>
          <w:lang w:eastAsia="es-VE"/>
        </w:rPr>
        <w:t>Algunos críticos argumentan que la interdisciplinariedad puede diluir el rigor de cada área, sacrificando la profundidad por la amplitud.</w:t>
      </w:r>
    </w:p>
    <w:p w14:paraId="00D13434" w14:textId="77777777" w:rsidR="00AB1AEF" w:rsidRPr="00AB1AEF" w:rsidRDefault="00AB1AEF" w:rsidP="00AB1AEF">
      <w:pPr>
        <w:numPr>
          <w:ilvl w:val="1"/>
          <w:numId w:val="20"/>
        </w:numPr>
        <w:spacing w:line="240" w:lineRule="auto"/>
        <w:rPr>
          <w:rFonts w:eastAsia="Times New Roman"/>
          <w:szCs w:val="24"/>
          <w:lang w:eastAsia="es-VE"/>
        </w:rPr>
      </w:pPr>
      <w:r w:rsidRPr="00AB1AEF">
        <w:rPr>
          <w:rFonts w:eastAsia="Times New Roman"/>
          <w:szCs w:val="24"/>
          <w:lang w:eastAsia="es-VE"/>
        </w:rPr>
        <w:t>La combinación de enfoques puede generar investigaciones superficiales si no se logra una integración adecuada de los conocimientos.</w:t>
      </w:r>
    </w:p>
    <w:p w14:paraId="74CC7159" w14:textId="77777777" w:rsidR="00AB1AEF" w:rsidRPr="00AB1AEF" w:rsidRDefault="00AB1AEF" w:rsidP="00AB1AEF">
      <w:pPr>
        <w:numPr>
          <w:ilvl w:val="0"/>
          <w:numId w:val="20"/>
        </w:numPr>
        <w:spacing w:line="240" w:lineRule="auto"/>
        <w:rPr>
          <w:rFonts w:eastAsia="Times New Roman"/>
          <w:szCs w:val="24"/>
          <w:lang w:eastAsia="es-VE"/>
        </w:rPr>
      </w:pPr>
      <w:r w:rsidRPr="00AB1AEF">
        <w:rPr>
          <w:rFonts w:eastAsia="Times New Roman"/>
          <w:b/>
          <w:bCs/>
          <w:szCs w:val="24"/>
          <w:lang w:eastAsia="es-VE"/>
        </w:rPr>
        <w:lastRenderedPageBreak/>
        <w:t>Dificultades metodológicas</w:t>
      </w:r>
    </w:p>
    <w:p w14:paraId="622567F4" w14:textId="77777777" w:rsidR="00AB1AEF" w:rsidRPr="00AB1AEF" w:rsidRDefault="00AB1AEF" w:rsidP="00AB1AEF">
      <w:pPr>
        <w:numPr>
          <w:ilvl w:val="1"/>
          <w:numId w:val="20"/>
        </w:numPr>
        <w:spacing w:line="240" w:lineRule="auto"/>
        <w:rPr>
          <w:rFonts w:eastAsia="Times New Roman"/>
          <w:szCs w:val="24"/>
          <w:lang w:eastAsia="es-VE"/>
        </w:rPr>
      </w:pPr>
      <w:r w:rsidRPr="00AB1AEF">
        <w:rPr>
          <w:rFonts w:eastAsia="Times New Roman"/>
          <w:szCs w:val="24"/>
          <w:lang w:eastAsia="es-VE"/>
        </w:rPr>
        <w:t>Cada disciplina tiene sus propias metodologías y criterios de validación, lo que puede generar conflictos al intentar combinarlas.</w:t>
      </w:r>
    </w:p>
    <w:p w14:paraId="5011F459" w14:textId="77777777" w:rsidR="00AB1AEF" w:rsidRPr="00AB1AEF" w:rsidRDefault="00AB1AEF" w:rsidP="00AB1AEF">
      <w:pPr>
        <w:numPr>
          <w:ilvl w:val="1"/>
          <w:numId w:val="20"/>
        </w:numPr>
        <w:spacing w:line="240" w:lineRule="auto"/>
        <w:rPr>
          <w:rFonts w:eastAsia="Times New Roman"/>
          <w:szCs w:val="24"/>
          <w:lang w:eastAsia="es-VE"/>
        </w:rPr>
      </w:pPr>
      <w:r w:rsidRPr="00AB1AEF">
        <w:rPr>
          <w:rFonts w:eastAsia="Times New Roman"/>
          <w:szCs w:val="24"/>
          <w:lang w:eastAsia="es-VE"/>
        </w:rPr>
        <w:t>La falta de un marco metodológico común puede dificultar la evaluación de la calidad de los estudios interdisciplinarios.</w:t>
      </w:r>
    </w:p>
    <w:p w14:paraId="5BD7EC12" w14:textId="77777777" w:rsidR="00AB1AEF" w:rsidRPr="00AB1AEF" w:rsidRDefault="00AB1AEF" w:rsidP="00AB1AEF">
      <w:pPr>
        <w:numPr>
          <w:ilvl w:val="0"/>
          <w:numId w:val="20"/>
        </w:numPr>
        <w:spacing w:line="240" w:lineRule="auto"/>
        <w:rPr>
          <w:rFonts w:eastAsia="Times New Roman"/>
          <w:szCs w:val="24"/>
          <w:lang w:eastAsia="es-VE"/>
        </w:rPr>
      </w:pPr>
      <w:r w:rsidRPr="00AB1AEF">
        <w:rPr>
          <w:rFonts w:eastAsia="Times New Roman"/>
          <w:b/>
          <w:bCs/>
          <w:szCs w:val="24"/>
          <w:lang w:eastAsia="es-VE"/>
        </w:rPr>
        <w:t>Problemas de comunicación entre disciplinas</w:t>
      </w:r>
    </w:p>
    <w:p w14:paraId="05886468" w14:textId="77777777" w:rsidR="00AB1AEF" w:rsidRPr="00AB1AEF" w:rsidRDefault="00AB1AEF" w:rsidP="00AB1AEF">
      <w:pPr>
        <w:numPr>
          <w:ilvl w:val="1"/>
          <w:numId w:val="20"/>
        </w:numPr>
        <w:spacing w:line="240" w:lineRule="auto"/>
        <w:rPr>
          <w:rFonts w:eastAsia="Times New Roman"/>
          <w:szCs w:val="24"/>
          <w:lang w:eastAsia="es-VE"/>
        </w:rPr>
      </w:pPr>
      <w:r w:rsidRPr="00AB1AEF">
        <w:rPr>
          <w:rFonts w:eastAsia="Times New Roman"/>
          <w:szCs w:val="24"/>
          <w:lang w:eastAsia="es-VE"/>
        </w:rPr>
        <w:t>Los investigadores de distintas áreas pueden tener dificultades para entender los conceptos y enfoques de otras disciplinas.</w:t>
      </w:r>
    </w:p>
    <w:p w14:paraId="5C80928A" w14:textId="77777777" w:rsidR="00AB1AEF" w:rsidRPr="00AB1AEF" w:rsidRDefault="00AB1AEF" w:rsidP="00AB1AEF">
      <w:pPr>
        <w:numPr>
          <w:ilvl w:val="1"/>
          <w:numId w:val="20"/>
        </w:numPr>
        <w:spacing w:line="240" w:lineRule="auto"/>
        <w:rPr>
          <w:rFonts w:eastAsia="Times New Roman"/>
          <w:szCs w:val="24"/>
          <w:lang w:eastAsia="es-VE"/>
        </w:rPr>
      </w:pPr>
      <w:r w:rsidRPr="00AB1AEF">
        <w:rPr>
          <w:rFonts w:eastAsia="Times New Roman"/>
          <w:szCs w:val="24"/>
          <w:lang w:eastAsia="es-VE"/>
        </w:rPr>
        <w:t>La terminología y los paradigmas epistemológicos pueden ser incompatibles, lo que complica la colaboración efectiva.</w:t>
      </w:r>
    </w:p>
    <w:p w14:paraId="4B82B124" w14:textId="77777777" w:rsidR="00AB1AEF" w:rsidRPr="00AB1AEF" w:rsidRDefault="00AB1AEF" w:rsidP="00AB1AEF">
      <w:pPr>
        <w:numPr>
          <w:ilvl w:val="0"/>
          <w:numId w:val="20"/>
        </w:numPr>
        <w:spacing w:line="240" w:lineRule="auto"/>
        <w:rPr>
          <w:rFonts w:eastAsia="Times New Roman"/>
          <w:szCs w:val="24"/>
          <w:lang w:eastAsia="es-VE"/>
        </w:rPr>
      </w:pPr>
      <w:r w:rsidRPr="00AB1AEF">
        <w:rPr>
          <w:rFonts w:eastAsia="Times New Roman"/>
          <w:b/>
          <w:bCs/>
          <w:szCs w:val="24"/>
          <w:lang w:eastAsia="es-VE"/>
        </w:rPr>
        <w:t>Resistencia institucional</w:t>
      </w:r>
    </w:p>
    <w:p w14:paraId="6FD29954" w14:textId="77777777" w:rsidR="00AB1AEF" w:rsidRPr="00AB1AEF" w:rsidRDefault="00AB1AEF" w:rsidP="00AB1AEF">
      <w:pPr>
        <w:numPr>
          <w:ilvl w:val="0"/>
          <w:numId w:val="21"/>
        </w:numPr>
        <w:spacing w:line="240" w:lineRule="auto"/>
        <w:rPr>
          <w:rFonts w:eastAsia="Times New Roman"/>
          <w:szCs w:val="24"/>
          <w:lang w:eastAsia="es-VE"/>
        </w:rPr>
      </w:pPr>
      <w:r w:rsidRPr="00AB1AEF">
        <w:rPr>
          <w:rFonts w:eastAsia="Times New Roman"/>
          <w:szCs w:val="24"/>
          <w:lang w:eastAsia="es-VE"/>
        </w:rPr>
        <w:t>Muchas universidades y centros de investigación siguen estructuras tradicionales que favorecen la especialización disciplinaria.</w:t>
      </w:r>
    </w:p>
    <w:p w14:paraId="7D5110E4" w14:textId="77777777" w:rsidR="00AB1AEF" w:rsidRPr="00AB1AEF" w:rsidRDefault="00AB1AEF" w:rsidP="00AB1AEF">
      <w:pPr>
        <w:numPr>
          <w:ilvl w:val="0"/>
          <w:numId w:val="21"/>
        </w:numPr>
        <w:spacing w:line="240" w:lineRule="auto"/>
        <w:rPr>
          <w:rFonts w:eastAsia="Times New Roman"/>
          <w:szCs w:val="24"/>
          <w:lang w:eastAsia="es-VE"/>
        </w:rPr>
      </w:pPr>
      <w:r w:rsidRPr="00AB1AEF">
        <w:rPr>
          <w:rFonts w:eastAsia="Times New Roman"/>
          <w:szCs w:val="24"/>
          <w:lang w:eastAsia="es-VE"/>
        </w:rPr>
        <w:t>La falta de financiamiento y reconocimiento para proyectos interdisciplinarios puede limitar su desarrollo.</w:t>
      </w:r>
    </w:p>
    <w:p w14:paraId="2A01F1E4" w14:textId="77777777" w:rsidR="00AB1AEF" w:rsidRPr="00AB1AEF" w:rsidRDefault="00AB1AEF" w:rsidP="00AB1AEF">
      <w:pPr>
        <w:spacing w:line="240" w:lineRule="auto"/>
        <w:rPr>
          <w:rFonts w:eastAsia="Times New Roman"/>
          <w:szCs w:val="24"/>
          <w:lang w:eastAsia="es-VE"/>
        </w:rPr>
      </w:pPr>
      <w:r w:rsidRPr="00AB1AEF">
        <w:rPr>
          <w:rFonts w:eastAsia="Times New Roman"/>
          <w:b/>
          <w:bCs/>
          <w:szCs w:val="24"/>
          <w:lang w:eastAsia="es-VE"/>
        </w:rPr>
        <w:t>Perspectivas críticas sobre la epistemología de la interdisciplinariedad</w:t>
      </w:r>
    </w:p>
    <w:p w14:paraId="27A9836F" w14:textId="77777777" w:rsidR="00AB1AEF" w:rsidRPr="00AB1AEF" w:rsidRDefault="00AB1AEF" w:rsidP="00AB1AEF">
      <w:pPr>
        <w:spacing w:line="240" w:lineRule="auto"/>
        <w:rPr>
          <w:rFonts w:eastAsia="Times New Roman"/>
          <w:szCs w:val="24"/>
          <w:lang w:eastAsia="es-VE"/>
        </w:rPr>
      </w:pPr>
      <w:r w:rsidRPr="00AB1AEF">
        <w:rPr>
          <w:rFonts w:eastAsia="Times New Roman"/>
          <w:szCs w:val="24"/>
          <w:lang w:eastAsia="es-VE"/>
        </w:rPr>
        <w:t xml:space="preserve">Algunos estudios han analizado cómo la interdisciplinariedad desafía los modelos epistemológicos tradicionales. Por ejemplo, la </w:t>
      </w:r>
      <w:r w:rsidRPr="00AB1AEF">
        <w:rPr>
          <w:rFonts w:eastAsia="Times New Roman"/>
          <w:b/>
          <w:bCs/>
          <w:szCs w:val="24"/>
          <w:lang w:eastAsia="es-VE"/>
        </w:rPr>
        <w:t xml:space="preserve">Teoría </w:t>
      </w:r>
      <w:proofErr w:type="spellStart"/>
      <w:r w:rsidRPr="00AB1AEF">
        <w:rPr>
          <w:rFonts w:eastAsia="Times New Roman"/>
          <w:b/>
          <w:bCs/>
          <w:szCs w:val="24"/>
          <w:lang w:eastAsia="es-VE"/>
        </w:rPr>
        <w:t>Comognitiva</w:t>
      </w:r>
      <w:proofErr w:type="spellEnd"/>
      <w:r w:rsidRPr="00AB1AEF">
        <w:rPr>
          <w:rFonts w:eastAsia="Times New Roman"/>
          <w:b/>
          <w:bCs/>
          <w:szCs w:val="24"/>
          <w:lang w:eastAsia="es-VE"/>
        </w:rPr>
        <w:t xml:space="preserve"> de Anna Sfard</w:t>
      </w:r>
      <w:r w:rsidRPr="00AB1AEF">
        <w:rPr>
          <w:rFonts w:eastAsia="Times New Roman"/>
          <w:szCs w:val="24"/>
          <w:lang w:eastAsia="es-VE"/>
        </w:rPr>
        <w:t xml:space="preserve"> propone un marco para entender la integración del conocimiento en procesos interdisciplinarios. Además, se han desarrollado enfoques críticos en ciencias sociales que cuestionan la rigidez del positivismo y promueven metodologías colaborativas.</w:t>
      </w:r>
    </w:p>
    <w:p w14:paraId="2D23F75E" w14:textId="77777777" w:rsidR="00AB1AEF" w:rsidRPr="00AB1AEF" w:rsidRDefault="00AB1AEF" w:rsidP="00AB1AEF">
      <w:pPr>
        <w:spacing w:line="240" w:lineRule="auto"/>
        <w:rPr>
          <w:rFonts w:eastAsia="Times New Roman"/>
          <w:szCs w:val="24"/>
          <w:lang w:eastAsia="es-VE"/>
        </w:rPr>
      </w:pPr>
      <w:r w:rsidRPr="00AB1AEF">
        <w:rPr>
          <w:rFonts w:eastAsia="Times New Roman"/>
          <w:szCs w:val="24"/>
          <w:lang w:eastAsia="es-VE"/>
        </w:rPr>
        <w:t xml:space="preserve">Si te interesa profundizar en estos debates, puedes revisar </w:t>
      </w:r>
      <w:hyperlink r:id="rId5" w:history="1">
        <w:r w:rsidRPr="00AB1AEF">
          <w:rPr>
            <w:rFonts w:eastAsia="Times New Roman"/>
            <w:color w:val="0000FF"/>
            <w:szCs w:val="24"/>
            <w:u w:val="single"/>
            <w:lang w:eastAsia="es-VE"/>
          </w:rPr>
          <w:t>este artículo</w:t>
        </w:r>
      </w:hyperlink>
      <w:r w:rsidRPr="00AB1AEF">
        <w:rPr>
          <w:rFonts w:eastAsia="Times New Roman"/>
          <w:szCs w:val="24"/>
          <w:lang w:eastAsia="es-VE"/>
        </w:rPr>
        <w:t xml:space="preserve"> sobre epistemología y procesos interdisciplinarios en la educación superior. ¿Te gustaría explorar estrategias para superar estos desafíos y fortalecer la interdisciplinariedad en la investigación?</w:t>
      </w:r>
    </w:p>
    <w:p w14:paraId="460DB657" w14:textId="11A3DF70" w:rsidR="00D333D9" w:rsidRPr="00C861BC" w:rsidRDefault="00D333D9" w:rsidP="00AB1AEF">
      <w:pPr>
        <w:spacing w:line="240" w:lineRule="auto"/>
      </w:pPr>
    </w:p>
    <w:sectPr w:rsidR="00D333D9" w:rsidRPr="00C861BC" w:rsidSect="009D6A30">
      <w:type w:val="continuous"/>
      <w:pgSz w:w="12240" w:h="15840" w:code="1"/>
      <w:pgMar w:top="1417" w:right="1701" w:bottom="1417"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AD4"/>
    <w:multiLevelType w:val="multilevel"/>
    <w:tmpl w:val="263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01EAB"/>
    <w:multiLevelType w:val="multilevel"/>
    <w:tmpl w:val="9DE86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F5275"/>
    <w:multiLevelType w:val="multilevel"/>
    <w:tmpl w:val="1868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9719B"/>
    <w:multiLevelType w:val="multilevel"/>
    <w:tmpl w:val="543036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22F4A"/>
    <w:multiLevelType w:val="multilevel"/>
    <w:tmpl w:val="D3DC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90C6C"/>
    <w:multiLevelType w:val="multilevel"/>
    <w:tmpl w:val="8F4C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10DDA"/>
    <w:multiLevelType w:val="multilevel"/>
    <w:tmpl w:val="120E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96E41"/>
    <w:multiLevelType w:val="multilevel"/>
    <w:tmpl w:val="1412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67E29"/>
    <w:multiLevelType w:val="multilevel"/>
    <w:tmpl w:val="75A0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A3327"/>
    <w:multiLevelType w:val="hybridMultilevel"/>
    <w:tmpl w:val="2A9648F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3BA27661"/>
    <w:multiLevelType w:val="multilevel"/>
    <w:tmpl w:val="87A0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34B97"/>
    <w:multiLevelType w:val="multilevel"/>
    <w:tmpl w:val="416C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429AA"/>
    <w:multiLevelType w:val="multilevel"/>
    <w:tmpl w:val="3FFA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13FC0"/>
    <w:multiLevelType w:val="multilevel"/>
    <w:tmpl w:val="C100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5166E2"/>
    <w:multiLevelType w:val="multilevel"/>
    <w:tmpl w:val="8994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12C26"/>
    <w:multiLevelType w:val="multilevel"/>
    <w:tmpl w:val="DAD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C5B9A"/>
    <w:multiLevelType w:val="multilevel"/>
    <w:tmpl w:val="F3CC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E1239"/>
    <w:multiLevelType w:val="multilevel"/>
    <w:tmpl w:val="8DEE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1424E3"/>
    <w:multiLevelType w:val="multilevel"/>
    <w:tmpl w:val="C952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A5165"/>
    <w:multiLevelType w:val="multilevel"/>
    <w:tmpl w:val="BA12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73C75"/>
    <w:multiLevelType w:val="multilevel"/>
    <w:tmpl w:val="41C23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3"/>
  </w:num>
  <w:num w:numId="4">
    <w:abstractNumId w:val="19"/>
  </w:num>
  <w:num w:numId="5">
    <w:abstractNumId w:val="17"/>
  </w:num>
  <w:num w:numId="6">
    <w:abstractNumId w:val="18"/>
  </w:num>
  <w:num w:numId="7">
    <w:abstractNumId w:val="16"/>
  </w:num>
  <w:num w:numId="8">
    <w:abstractNumId w:val="7"/>
  </w:num>
  <w:num w:numId="9">
    <w:abstractNumId w:val="4"/>
  </w:num>
  <w:num w:numId="10">
    <w:abstractNumId w:val="2"/>
  </w:num>
  <w:num w:numId="11">
    <w:abstractNumId w:val="11"/>
  </w:num>
  <w:num w:numId="12">
    <w:abstractNumId w:val="15"/>
  </w:num>
  <w:num w:numId="13">
    <w:abstractNumId w:val="8"/>
  </w:num>
  <w:num w:numId="14">
    <w:abstractNumId w:val="13"/>
  </w:num>
  <w:num w:numId="15">
    <w:abstractNumId w:val="14"/>
  </w:num>
  <w:num w:numId="16">
    <w:abstractNumId w:val="5"/>
  </w:num>
  <w:num w:numId="17">
    <w:abstractNumId w:val="9"/>
  </w:num>
  <w:num w:numId="18">
    <w:abstractNumId w:val="1"/>
  </w:num>
  <w:num w:numId="19">
    <w:abstractNumId w:val="0"/>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54"/>
    <w:rsid w:val="00110D89"/>
    <w:rsid w:val="0014133B"/>
    <w:rsid w:val="001E5F95"/>
    <w:rsid w:val="00257523"/>
    <w:rsid w:val="002E7536"/>
    <w:rsid w:val="0035458A"/>
    <w:rsid w:val="004954C9"/>
    <w:rsid w:val="004A6E01"/>
    <w:rsid w:val="004D1D8E"/>
    <w:rsid w:val="005F0107"/>
    <w:rsid w:val="005F6950"/>
    <w:rsid w:val="0071789F"/>
    <w:rsid w:val="008932EF"/>
    <w:rsid w:val="008C5A83"/>
    <w:rsid w:val="008D3E3A"/>
    <w:rsid w:val="009D6A30"/>
    <w:rsid w:val="00A07709"/>
    <w:rsid w:val="00A80193"/>
    <w:rsid w:val="00AB1AEF"/>
    <w:rsid w:val="00AC72B0"/>
    <w:rsid w:val="00C165B0"/>
    <w:rsid w:val="00C62192"/>
    <w:rsid w:val="00C861BC"/>
    <w:rsid w:val="00C91CC9"/>
    <w:rsid w:val="00CD60B4"/>
    <w:rsid w:val="00D333D9"/>
    <w:rsid w:val="00F52754"/>
    <w:rsid w:val="00FB209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FCFF"/>
  <w15:chartTrackingRefBased/>
  <w15:docId w15:val="{5F9E397F-4AF9-4C37-9F6F-52A4B30A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s-VE"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2754"/>
    <w:rPr>
      <w:szCs w:val="24"/>
    </w:rPr>
  </w:style>
  <w:style w:type="character" w:styleId="Textoennegrita">
    <w:name w:val="Strong"/>
    <w:basedOn w:val="Fuentedeprrafopredeter"/>
    <w:uiPriority w:val="22"/>
    <w:qFormat/>
    <w:rsid w:val="00D333D9"/>
    <w:rPr>
      <w:b/>
      <w:bCs/>
    </w:rPr>
  </w:style>
  <w:style w:type="paragraph" w:styleId="Prrafodelista">
    <w:name w:val="List Paragraph"/>
    <w:basedOn w:val="Normal"/>
    <w:uiPriority w:val="34"/>
    <w:qFormat/>
    <w:rsid w:val="00D333D9"/>
    <w:pPr>
      <w:ind w:left="720"/>
      <w:contextualSpacing/>
    </w:pPr>
  </w:style>
  <w:style w:type="character" w:styleId="Hipervnculo">
    <w:name w:val="Hyperlink"/>
    <w:basedOn w:val="Fuentedeprrafopredeter"/>
    <w:uiPriority w:val="99"/>
    <w:semiHidden/>
    <w:unhideWhenUsed/>
    <w:rsid w:val="00C91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2308">
      <w:bodyDiv w:val="1"/>
      <w:marLeft w:val="0"/>
      <w:marRight w:val="0"/>
      <w:marTop w:val="0"/>
      <w:marBottom w:val="0"/>
      <w:divBdr>
        <w:top w:val="none" w:sz="0" w:space="0" w:color="auto"/>
        <w:left w:val="none" w:sz="0" w:space="0" w:color="auto"/>
        <w:bottom w:val="none" w:sz="0" w:space="0" w:color="auto"/>
        <w:right w:val="none" w:sz="0" w:space="0" w:color="auto"/>
      </w:divBdr>
    </w:div>
    <w:div w:id="98455799">
      <w:bodyDiv w:val="1"/>
      <w:marLeft w:val="0"/>
      <w:marRight w:val="0"/>
      <w:marTop w:val="0"/>
      <w:marBottom w:val="0"/>
      <w:divBdr>
        <w:top w:val="none" w:sz="0" w:space="0" w:color="auto"/>
        <w:left w:val="none" w:sz="0" w:space="0" w:color="auto"/>
        <w:bottom w:val="none" w:sz="0" w:space="0" w:color="auto"/>
        <w:right w:val="none" w:sz="0" w:space="0" w:color="auto"/>
      </w:divBdr>
    </w:div>
    <w:div w:id="251399044">
      <w:bodyDiv w:val="1"/>
      <w:marLeft w:val="0"/>
      <w:marRight w:val="0"/>
      <w:marTop w:val="0"/>
      <w:marBottom w:val="0"/>
      <w:divBdr>
        <w:top w:val="none" w:sz="0" w:space="0" w:color="auto"/>
        <w:left w:val="none" w:sz="0" w:space="0" w:color="auto"/>
        <w:bottom w:val="none" w:sz="0" w:space="0" w:color="auto"/>
        <w:right w:val="none" w:sz="0" w:space="0" w:color="auto"/>
      </w:divBdr>
    </w:div>
    <w:div w:id="815873566">
      <w:bodyDiv w:val="1"/>
      <w:marLeft w:val="0"/>
      <w:marRight w:val="0"/>
      <w:marTop w:val="0"/>
      <w:marBottom w:val="0"/>
      <w:divBdr>
        <w:top w:val="none" w:sz="0" w:space="0" w:color="auto"/>
        <w:left w:val="none" w:sz="0" w:space="0" w:color="auto"/>
        <w:bottom w:val="none" w:sz="0" w:space="0" w:color="auto"/>
        <w:right w:val="none" w:sz="0" w:space="0" w:color="auto"/>
      </w:divBdr>
    </w:div>
    <w:div w:id="1064567238">
      <w:bodyDiv w:val="1"/>
      <w:marLeft w:val="0"/>
      <w:marRight w:val="0"/>
      <w:marTop w:val="0"/>
      <w:marBottom w:val="0"/>
      <w:divBdr>
        <w:top w:val="none" w:sz="0" w:space="0" w:color="auto"/>
        <w:left w:val="none" w:sz="0" w:space="0" w:color="auto"/>
        <w:bottom w:val="none" w:sz="0" w:space="0" w:color="auto"/>
        <w:right w:val="none" w:sz="0" w:space="0" w:color="auto"/>
      </w:divBdr>
    </w:div>
    <w:div w:id="1209415032">
      <w:bodyDiv w:val="1"/>
      <w:marLeft w:val="0"/>
      <w:marRight w:val="0"/>
      <w:marTop w:val="0"/>
      <w:marBottom w:val="0"/>
      <w:divBdr>
        <w:top w:val="none" w:sz="0" w:space="0" w:color="auto"/>
        <w:left w:val="none" w:sz="0" w:space="0" w:color="auto"/>
        <w:bottom w:val="none" w:sz="0" w:space="0" w:color="auto"/>
        <w:right w:val="none" w:sz="0" w:space="0" w:color="auto"/>
      </w:divBdr>
    </w:div>
    <w:div w:id="1347708276">
      <w:bodyDiv w:val="1"/>
      <w:marLeft w:val="0"/>
      <w:marRight w:val="0"/>
      <w:marTop w:val="0"/>
      <w:marBottom w:val="0"/>
      <w:divBdr>
        <w:top w:val="none" w:sz="0" w:space="0" w:color="auto"/>
        <w:left w:val="none" w:sz="0" w:space="0" w:color="auto"/>
        <w:bottom w:val="none" w:sz="0" w:space="0" w:color="auto"/>
        <w:right w:val="none" w:sz="0" w:space="0" w:color="auto"/>
      </w:divBdr>
    </w:div>
    <w:div w:id="1735156582">
      <w:bodyDiv w:val="1"/>
      <w:marLeft w:val="0"/>
      <w:marRight w:val="0"/>
      <w:marTop w:val="0"/>
      <w:marBottom w:val="0"/>
      <w:divBdr>
        <w:top w:val="none" w:sz="0" w:space="0" w:color="auto"/>
        <w:left w:val="none" w:sz="0" w:space="0" w:color="auto"/>
        <w:bottom w:val="none" w:sz="0" w:space="0" w:color="auto"/>
        <w:right w:val="none" w:sz="0" w:space="0" w:color="auto"/>
      </w:divBdr>
    </w:div>
    <w:div w:id="1775125339">
      <w:bodyDiv w:val="1"/>
      <w:marLeft w:val="0"/>
      <w:marRight w:val="0"/>
      <w:marTop w:val="0"/>
      <w:marBottom w:val="0"/>
      <w:divBdr>
        <w:top w:val="none" w:sz="0" w:space="0" w:color="auto"/>
        <w:left w:val="none" w:sz="0" w:space="0" w:color="auto"/>
        <w:bottom w:val="none" w:sz="0" w:space="0" w:color="auto"/>
        <w:right w:val="none" w:sz="0" w:space="0" w:color="auto"/>
      </w:divBdr>
    </w:div>
    <w:div w:id="1854301067">
      <w:bodyDiv w:val="1"/>
      <w:marLeft w:val="0"/>
      <w:marRight w:val="0"/>
      <w:marTop w:val="0"/>
      <w:marBottom w:val="0"/>
      <w:divBdr>
        <w:top w:val="none" w:sz="0" w:space="0" w:color="auto"/>
        <w:left w:val="none" w:sz="0" w:space="0" w:color="auto"/>
        <w:bottom w:val="none" w:sz="0" w:space="0" w:color="auto"/>
        <w:right w:val="none" w:sz="0" w:space="0" w:color="auto"/>
      </w:divBdr>
    </w:div>
    <w:div w:id="21240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lo.cl/scielo.php?script=sci_arttext&amp;pid=S0718-0705202300020013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614</Words>
  <Characters>3383</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ida1946@outlook.es</dc:creator>
  <cp:keywords/>
  <dc:description/>
  <cp:lastModifiedBy>ida1946@outlook.es</cp:lastModifiedBy>
  <cp:revision>5</cp:revision>
  <dcterms:created xsi:type="dcterms:W3CDTF">2025-05-25T17:11:00Z</dcterms:created>
  <dcterms:modified xsi:type="dcterms:W3CDTF">2025-05-25T18:11:00Z</dcterms:modified>
</cp:coreProperties>
</file>